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F4" w:rsidRDefault="007C5EEE" w:rsidP="009C0605">
      <w:pPr>
        <w:jc w:val="center"/>
      </w:pPr>
      <w:bookmarkStart w:id="0" w:name="cover"/>
      <w:r>
        <w:rPr>
          <w:noProof/>
          <w:lang w:eastAsia="pt-BR"/>
        </w:rPr>
        <w:drawing>
          <wp:inline distT="0" distB="0" distL="0" distR="0">
            <wp:extent cx="1143000" cy="485560"/>
            <wp:effectExtent l="0" t="0" r="0" b="0"/>
            <wp:docPr id="21" name="Picture" descr="Logo cli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/var/www/valutech.io/form/assets/img/logo/2078899adf4d8ad8e2066f3974b06fb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5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pPr>
        <w:pStyle w:val="Ttulo2"/>
      </w:pPr>
      <w:bookmarkStart w:id="1" w:name="section"/>
      <w:r>
        <w:t> </w:t>
      </w:r>
    </w:p>
    <w:p w:rsidR="00C925F4" w:rsidRDefault="007C5EEE">
      <w:pPr>
        <w:pStyle w:val="Ttulo1"/>
      </w:pPr>
      <w:bookmarkStart w:id="2" w:name="X6f415c5d1ca1d873efafa32bb3b47163ac25102"/>
      <w:bookmarkEnd w:id="1"/>
      <w:r>
        <w:rPr>
          <w:bCs/>
        </w:rPr>
        <w:t>RELATÓRIO DE AVALIAÇÃO DA EMPRESA XPTO LTDA</w:t>
      </w:r>
    </w:p>
    <w:p w:rsidR="00C925F4" w:rsidRDefault="007C5EEE" w:rsidP="009C0605">
      <w:pPr>
        <w:pStyle w:val="Ttulo4"/>
        <w:jc w:val="center"/>
      </w:pPr>
      <w:bookmarkStart w:id="3" w:name="section-1"/>
      <w:r>
        <w:t>12.345.678/9000-10</w:t>
      </w:r>
    </w:p>
    <w:p w:rsidR="00C925F4" w:rsidRDefault="007C5EEE" w:rsidP="009C0605">
      <w:pPr>
        <w:pStyle w:val="Ttulo4"/>
        <w:jc w:val="center"/>
      </w:pPr>
      <w:bookmarkStart w:id="4" w:name="junho-2025"/>
      <w:bookmarkEnd w:id="3"/>
      <w:r>
        <w:t>24 Junho, 2025</w:t>
      </w:r>
    </w:p>
    <w:bookmarkEnd w:id="0"/>
    <w:bookmarkEnd w:id="2"/>
    <w:bookmarkEnd w:id="4"/>
    <w:p w:rsidR="00C925F4" w:rsidRDefault="007C5EEE">
      <w:r>
        <w:br w:type="page"/>
      </w:r>
    </w:p>
    <w:p w:rsidR="00C925F4" w:rsidRDefault="007C5EEE">
      <w:pPr>
        <w:pStyle w:val="Ttulo2"/>
      </w:pPr>
      <w:bookmarkStart w:id="5" w:name="índice"/>
      <w:bookmarkStart w:id="6" w:name="index"/>
      <w:r>
        <w:lastRenderedPageBreak/>
        <w:t>Índice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5973"/>
        <w:gridCol w:w="2532"/>
      </w:tblGrid>
      <w:tr w:rsidR="00C925F4" w:rsidTr="009C0605">
        <w:tc>
          <w:tcPr>
            <w:tcW w:w="0" w:type="auto"/>
          </w:tcPr>
          <w:p w:rsidR="00C925F4" w:rsidRDefault="007C5EEE">
            <w:r>
              <w:t>Comentários</w:t>
            </w:r>
          </w:p>
        </w:tc>
        <w:tc>
          <w:tcPr>
            <w:tcW w:w="2532" w:type="dxa"/>
          </w:tcPr>
          <w:p w:rsidR="00C925F4" w:rsidRDefault="007C5EEE">
            <w:pPr>
              <w:jc w:val="right"/>
            </w:pPr>
            <w:r>
              <w:t>03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t>Introdução às metodologias</w:t>
            </w:r>
          </w:p>
        </w:tc>
        <w:tc>
          <w:tcPr>
            <w:tcW w:w="2532" w:type="dxa"/>
          </w:tcPr>
          <w:p w:rsidR="00C925F4" w:rsidRDefault="007C5EEE">
            <w:pPr>
              <w:jc w:val="right"/>
            </w:pPr>
            <w:r>
              <w:t>04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t>Perfil da empresa avaliada</w:t>
            </w:r>
          </w:p>
        </w:tc>
        <w:tc>
          <w:tcPr>
            <w:tcW w:w="2532" w:type="dxa"/>
          </w:tcPr>
          <w:p w:rsidR="00C925F4" w:rsidRDefault="007C5EEE">
            <w:pPr>
              <w:jc w:val="right"/>
            </w:pPr>
            <w:r>
              <w:t>05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t>Risco</w:t>
            </w:r>
          </w:p>
        </w:tc>
        <w:tc>
          <w:tcPr>
            <w:tcW w:w="2532" w:type="dxa"/>
          </w:tcPr>
          <w:p w:rsidR="00C925F4" w:rsidRDefault="007C5EEE">
            <w:pPr>
              <w:jc w:val="right"/>
            </w:pPr>
            <w:r>
              <w:t>06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t>Avaliação da Empresa: Fluxo de Caixa Descontado (DCF)</w:t>
            </w:r>
          </w:p>
        </w:tc>
        <w:tc>
          <w:tcPr>
            <w:tcW w:w="2532" w:type="dxa"/>
          </w:tcPr>
          <w:p w:rsidR="00C925F4" w:rsidRDefault="007C5EEE">
            <w:pPr>
              <w:jc w:val="right"/>
            </w:pPr>
            <w:r>
              <w:t>08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t>Avaliação da Empresa: Projeções financeiras com DCF</w:t>
            </w:r>
          </w:p>
        </w:tc>
        <w:tc>
          <w:tcPr>
            <w:tcW w:w="2532" w:type="dxa"/>
          </w:tcPr>
          <w:p w:rsidR="00C925F4" w:rsidRDefault="007C5EEE">
            <w:pPr>
              <w:jc w:val="right"/>
            </w:pPr>
            <w:r>
              <w:t>10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t>Avaliação da Empresa: Múltiplos de Mercado</w:t>
            </w:r>
          </w:p>
        </w:tc>
        <w:tc>
          <w:tcPr>
            <w:tcW w:w="2532" w:type="dxa"/>
          </w:tcPr>
          <w:p w:rsidR="00C925F4" w:rsidRDefault="007C5EEE">
            <w:pPr>
              <w:jc w:val="right"/>
            </w:pPr>
            <w:r>
              <w:t>11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t>Referências Bibliográficas</w:t>
            </w:r>
          </w:p>
        </w:tc>
        <w:tc>
          <w:tcPr>
            <w:tcW w:w="2532" w:type="dxa"/>
          </w:tcPr>
          <w:p w:rsidR="00C925F4" w:rsidRDefault="007C5EEE">
            <w:pPr>
              <w:jc w:val="right"/>
            </w:pPr>
            <w:r>
              <w:t>12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t>Anexo: Tabela de valor</w:t>
            </w:r>
          </w:p>
        </w:tc>
        <w:tc>
          <w:tcPr>
            <w:tcW w:w="2532" w:type="dxa"/>
          </w:tcPr>
          <w:p w:rsidR="00C925F4" w:rsidRDefault="007C5EEE">
            <w:pPr>
              <w:jc w:val="right"/>
            </w:pPr>
            <w:r>
              <w:t>13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t>Anexo: Glossário de termos</w:t>
            </w:r>
          </w:p>
        </w:tc>
        <w:tc>
          <w:tcPr>
            <w:tcW w:w="2532" w:type="dxa"/>
          </w:tcPr>
          <w:p w:rsidR="00C925F4" w:rsidRDefault="007C5EEE">
            <w:pPr>
              <w:jc w:val="right"/>
            </w:pPr>
            <w:r>
              <w:t>14</w:t>
            </w:r>
          </w:p>
        </w:tc>
      </w:tr>
      <w:bookmarkEnd w:id="5"/>
      <w:bookmarkEnd w:id="6"/>
    </w:tbl>
    <w:p w:rsidR="00C925F4" w:rsidRDefault="007C5EEE">
      <w:r>
        <w:br w:type="page"/>
      </w:r>
    </w:p>
    <w:p w:rsidR="00C925F4" w:rsidRDefault="007C5EEE">
      <w:pPr>
        <w:pStyle w:val="Ttulo2"/>
      </w:pPr>
      <w:bookmarkStart w:id="7" w:name="comentários"/>
      <w:bookmarkStart w:id="8" w:name="comentarios"/>
      <w:r>
        <w:lastRenderedPageBreak/>
        <w:t>Comentários</w:t>
      </w:r>
    </w:p>
    <w:p w:rsidR="00C925F4" w:rsidRDefault="007C5EEE">
      <w:r>
        <w:t>Insira seus comentários opcionais aqui</w:t>
      </w:r>
    </w:p>
    <w:bookmarkEnd w:id="7"/>
    <w:bookmarkEnd w:id="8"/>
    <w:p w:rsidR="00C925F4" w:rsidRDefault="007C5EEE">
      <w:r>
        <w:br w:type="page"/>
      </w:r>
    </w:p>
    <w:p w:rsidR="00C925F4" w:rsidRDefault="007C5EEE">
      <w:pPr>
        <w:pStyle w:val="Ttulo2"/>
      </w:pPr>
      <w:bookmarkStart w:id="9" w:name="introdução-às-metodologias"/>
      <w:bookmarkStart w:id="10" w:name="methodology1"/>
      <w:r>
        <w:lastRenderedPageBreak/>
        <w:t>Introduçã</w:t>
      </w:r>
      <w:r>
        <w:t>o às metodologias</w:t>
      </w:r>
    </w:p>
    <w:p w:rsidR="00C925F4" w:rsidRDefault="007C5EEE">
      <w:bookmarkStart w:id="11" w:name="fluxo-de-caixa-descontado-ou-dcf"/>
      <w:r>
        <w:t>Fluxo de Caixa Descontado (ou DCF)</w:t>
      </w:r>
    </w:p>
    <w:p w:rsidR="00C925F4" w:rsidRDefault="007C5EEE">
      <w:r>
        <w:t>Na avaliação pelo DCF ("Discounted Cash Flow"), o objetivo é identificar o valor de uma empresa considerando seu fluxo de caixa, crescimento e risco. Ou seja, estima o potencial econômico do ativo (a emp</w:t>
      </w:r>
      <w:r>
        <w:t>resa) em gerar retorno para sócios e credores.</w:t>
      </w:r>
    </w:p>
    <w:p w:rsidR="00C925F4" w:rsidRDefault="007C5EEE">
      <w:r>
        <w:t>O método de DCF é um dos mais conhecidos mundialmente para valuation de empresas, recomendado por acadêmicos e utilizado pelas maiores companhias do ramo.</w:t>
      </w:r>
    </w:p>
    <w:p w:rsidR="00C925F4" w:rsidRDefault="007C5EEE">
      <w:r>
        <w:t>Esse critério engloba fatores importantes como plano de negócio, competência da gestão, tradição, marca, carteira de clientes e qualquer decisão que impacte na geração de resultados.</w:t>
      </w:r>
    </w:p>
    <w:p w:rsidR="00C925F4" w:rsidRDefault="007C5EEE">
      <w:r>
        <w:t>Entenda como funciona o processo de avaliação através do método DCF: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5397500" cy="1802263"/>
            <wp:effectExtent l="0" t="0" r="0" b="0"/>
            <wp:docPr id="33" name="Picture" descr="Método de fluxo de caixa desconta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/var/www/valutech.io/form/assets/img/formula/cash_fl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8022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r>
        <w:t>Co</w:t>
      </w:r>
      <w:r>
        <w:t xml:space="preserve">nforme </w:t>
      </w:r>
      <w:r>
        <w:rPr>
          <w:i/>
          <w:iCs/>
        </w:rPr>
        <w:t>Aswath Damodaran</w:t>
      </w:r>
      <w:r>
        <w:t>, uma boa avaliação é o resultado de dois elementos: o desempenho histórico da empresa e a criação de uma narrativa sólida (através das projeções financeiras).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3333750" cy="1543050"/>
            <wp:effectExtent l="0" t="0" r="0" b="0"/>
            <wp:docPr id="36" name="Picture" descr="DC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/var/www/valutech.io/form/assets/img/formula/avaliacao_pont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r>
        <w:rPr>
          <w:i/>
          <w:iCs/>
        </w:rPr>
        <w:t>Fonte: Professor Aswath Damodaran (Narrative and Numbers, 2017)</w:t>
      </w:r>
    </w:p>
    <w:bookmarkEnd w:id="9"/>
    <w:bookmarkEnd w:id="10"/>
    <w:bookmarkEnd w:id="11"/>
    <w:p w:rsidR="00C925F4" w:rsidRDefault="007C5EEE">
      <w:r>
        <w:br w:type="page"/>
      </w:r>
    </w:p>
    <w:p w:rsidR="00C925F4" w:rsidRDefault="007C5EEE">
      <w:bookmarkStart w:id="12" w:name="X9b5e1ebe694846f30f32b9cb38c67b255be561d"/>
      <w:bookmarkStart w:id="13" w:name="methodology2"/>
      <w:r>
        <w:lastRenderedPageBreak/>
        <w:t>Múlti</w:t>
      </w:r>
      <w:r>
        <w:t>plos de Mercado (ou Avaliação Relativa)</w:t>
      </w:r>
    </w:p>
    <w:p w:rsidR="00C925F4" w:rsidRDefault="007C5EEE">
      <w:r>
        <w:t>Na avaliação por Múltiplos de Mercado, o objetivo é avaliar uma empresa se baseando em como outras empresas similares são precificadas.</w:t>
      </w:r>
    </w:p>
    <w:p w:rsidR="00C925F4" w:rsidRDefault="007C5EEE">
      <w:r>
        <w:t>Existem dois componentes na avaliação por múltiplos: o primeiro, o valor da empr</w:t>
      </w:r>
      <w:r>
        <w:t>esa em si, deve ser convertido em um múltiplo de alguma variável comum (que muda de um ativo para outro e geralmente considera lucros, valor contábil, faturamento/receita, etc.).</w:t>
      </w:r>
    </w:p>
    <w:p w:rsidR="00C925F4" w:rsidRDefault="007C5EEE">
      <w:r>
        <w:t>O segundo componente - e o mais desafiador no mundo do valuation de pequenas e médias empresas, é que não existem empresas exatamente iguais, sendo assim necessário encontrar outras empresas parecidas para poder realizar tal comparação.</w:t>
      </w:r>
    </w:p>
    <w:p w:rsidR="00C925F4" w:rsidRDefault="007C5EEE">
      <w:r>
        <w:t>O trabalho foi real</w:t>
      </w:r>
      <w:r>
        <w:t>izado de forma que seja possível realizar o valuation de micro, pequenas e médias empresas através deste método, especificamente o EV/SALES (um múltiplo de faturamento muito utilizado no mercado de ações), que agrega ao valor da empresa os reflexos de dívi</w:t>
      </w:r>
      <w:r>
        <w:t>das e dinheiro em caixa.</w:t>
      </w:r>
    </w:p>
    <w:p w:rsidR="00C925F4" w:rsidRDefault="007C5EEE">
      <w:r>
        <w:t>Calculamos este múltiplo da seguinte forma: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5238750" cy="4460421"/>
            <wp:effectExtent l="0" t="0" r="0" b="0"/>
            <wp:docPr id="42" name="Picture" descr="Método de Múltiplos de Merca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/var/www/valutech.io/form/assets/img/formula/metodo_multiplos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4604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2"/>
    <w:bookmarkEnd w:id="13"/>
    <w:p w:rsidR="00C925F4" w:rsidRDefault="007C5EEE">
      <w:r>
        <w:br w:type="page"/>
      </w:r>
    </w:p>
    <w:p w:rsidR="00C925F4" w:rsidRDefault="007C5EEE">
      <w:pPr>
        <w:pStyle w:val="Ttulo2"/>
      </w:pPr>
      <w:bookmarkStart w:id="14" w:name="perfil-da-empresa-avaliada"/>
      <w:bookmarkStart w:id="15" w:name="profile"/>
      <w:r>
        <w:lastRenderedPageBreak/>
        <w:t>Perfil da empresa avaliada</w:t>
      </w:r>
    </w:p>
    <w:p w:rsidR="00C925F4" w:rsidRDefault="007C5EEE">
      <w:r>
        <w:rPr>
          <w:b/>
          <w:bCs/>
        </w:rPr>
        <w:t>XPTO LTDA</w:t>
      </w:r>
    </w:p>
    <w:p w:rsidR="00C925F4" w:rsidRDefault="007C5EEE">
      <w:r>
        <w:rPr>
          <w:b/>
          <w:bCs/>
        </w:rPr>
        <w:t>São Paulo, SP</w:t>
      </w:r>
    </w:p>
    <w:p w:rsidR="00C925F4" w:rsidRDefault="007C5EEE">
      <w:r>
        <w:t>Setores de operação:</w:t>
      </w:r>
      <w:r>
        <w:br/>
      </w:r>
      <w:r>
        <w:rPr>
          <w:b/>
          <w:bCs/>
        </w:rPr>
        <w:t>Automóveis e Caminhões</w:t>
      </w:r>
      <w:r>
        <w:br/>
      </w:r>
      <w:r>
        <w:rPr>
          <w:b/>
          <w:bCs/>
        </w:rPr>
        <w:t>Autopeças</w:t>
      </w:r>
    </w:p>
    <w:p w:rsidR="00C925F4" w:rsidRDefault="007C5EEE">
      <w:bookmarkStart w:id="16" w:name="oportunidade"/>
      <w:r>
        <w:rPr>
          <w:noProof/>
          <w:lang w:eastAsia="pt-BR"/>
        </w:rPr>
        <w:drawing>
          <wp:inline distT="0" distB="0" distL="0" distR="0">
            <wp:extent cx="190500" cy="190500"/>
            <wp:effectExtent l="0" t="0" r="0" b="0"/>
            <wp:docPr id="4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" descr="/var/www/valutech.io/form/assets/img/icon/fla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Oportunidade</w:t>
      </w:r>
    </w:p>
    <w:p w:rsidR="00C925F4" w:rsidRDefault="007C5EEE">
      <w:r>
        <w:t xml:space="preserve">Competitividade no setor: </w:t>
      </w:r>
      <w:r>
        <w:rPr>
          <w:b/>
          <w:bCs/>
        </w:rPr>
        <w:t>Nenhuma</w:t>
      </w:r>
    </w:p>
    <w:p w:rsidR="00C925F4" w:rsidRDefault="007C5EEE">
      <w:r>
        <w:rPr>
          <w:b/>
          <w:bCs/>
        </w:rPr>
        <w:t>Negócio não escalável</w:t>
      </w:r>
    </w:p>
    <w:p w:rsidR="00C925F4" w:rsidRDefault="007C5EEE">
      <w:bookmarkStart w:id="17" w:name="operações"/>
      <w:bookmarkEnd w:id="16"/>
      <w:r>
        <w:rPr>
          <w:noProof/>
          <w:lang w:eastAsia="pt-BR"/>
        </w:rPr>
        <w:drawing>
          <wp:inline distT="0" distB="0" distL="0" distR="0">
            <wp:extent cx="190500" cy="190500"/>
            <wp:effectExtent l="0" t="0" r="0" b="0"/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 descr="/var/www/valutech.io/form/assets/img/icon/target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Opera</w:t>
      </w:r>
      <w:r>
        <w:t>ções</w:t>
      </w:r>
    </w:p>
    <w:p w:rsidR="00C925F4" w:rsidRDefault="007C5EEE">
      <w:r>
        <w:t xml:space="preserve">Ano de fundação: </w:t>
      </w:r>
      <w:r>
        <w:rPr>
          <w:b/>
          <w:bCs/>
        </w:rPr>
        <w:t>2013</w:t>
      </w:r>
    </w:p>
    <w:p w:rsidR="00C925F4" w:rsidRDefault="007C5EEE">
      <w:r>
        <w:t xml:space="preserve">Número de sócios: </w:t>
      </w:r>
      <w:r>
        <w:rPr>
          <w:b/>
          <w:bCs/>
        </w:rPr>
        <w:t>1</w:t>
      </w:r>
    </w:p>
    <w:p w:rsidR="00C925F4" w:rsidRDefault="007C5EEE">
      <w:r>
        <w:t xml:space="preserve">Experiência da equipe: </w:t>
      </w:r>
      <w:r>
        <w:rPr>
          <w:b/>
          <w:bCs/>
        </w:rPr>
        <w:t>Mais de 10 anos</w:t>
      </w:r>
    </w:p>
    <w:p w:rsidR="00C925F4" w:rsidRDefault="007C5EEE">
      <w:bookmarkStart w:id="18" w:name="desempenho-anual"/>
      <w:bookmarkEnd w:id="17"/>
      <w:r>
        <w:rPr>
          <w:noProof/>
          <w:lang w:eastAsia="pt-BR"/>
        </w:rPr>
        <w:drawing>
          <wp:inline distT="0" distB="0" distL="0" distR="0">
            <wp:extent cx="190500" cy="190500"/>
            <wp:effectExtent l="0" t="0" r="0" b="0"/>
            <wp:docPr id="5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 descr="/var/www/valutech.io/form/assets/img/icon/performanc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Desempenho anual</w:t>
      </w:r>
    </w:p>
    <w:tbl>
      <w:tblPr>
        <w:tblW w:w="8505" w:type="dxa"/>
        <w:tblLook w:val="0000" w:firstRow="0" w:lastRow="0" w:firstColumn="0" w:lastColumn="0" w:noHBand="0" w:noVBand="0"/>
      </w:tblPr>
      <w:tblGrid>
        <w:gridCol w:w="2156"/>
        <w:gridCol w:w="6349"/>
      </w:tblGrid>
      <w:tr w:rsidR="00C925F4" w:rsidTr="009C0605">
        <w:tc>
          <w:tcPr>
            <w:tcW w:w="0" w:type="auto"/>
          </w:tcPr>
          <w:p w:rsidR="00C925F4" w:rsidRDefault="007C5EEE">
            <w:r>
              <w:rPr>
                <w:b/>
                <w:bCs/>
              </w:rPr>
              <w:t>Receita</w:t>
            </w:r>
          </w:p>
        </w:tc>
        <w:tc>
          <w:tcPr>
            <w:tcW w:w="6349" w:type="dxa"/>
          </w:tcPr>
          <w:p w:rsidR="00C925F4" w:rsidRDefault="007C5EEE">
            <w:pPr>
              <w:jc w:val="right"/>
            </w:pPr>
            <w:r>
              <w:rPr>
                <w:b/>
                <w:bCs/>
              </w:rPr>
              <w:t>R$ 243.349,03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rPr>
                <w:b/>
                <w:bCs/>
              </w:rPr>
              <w:t>Lucro</w:t>
            </w:r>
          </w:p>
        </w:tc>
        <w:tc>
          <w:tcPr>
            <w:tcW w:w="6349" w:type="dxa"/>
          </w:tcPr>
          <w:p w:rsidR="00C925F4" w:rsidRDefault="007C5EEE">
            <w:pPr>
              <w:jc w:val="right"/>
            </w:pPr>
            <w:r>
              <w:rPr>
                <w:b/>
                <w:bCs/>
              </w:rPr>
              <w:t>R$ 21.500,00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rPr>
                <w:b/>
                <w:bCs/>
              </w:rPr>
              <w:t>EBIT</w:t>
            </w:r>
          </w:p>
        </w:tc>
        <w:tc>
          <w:tcPr>
            <w:tcW w:w="6349" w:type="dxa"/>
          </w:tcPr>
          <w:p w:rsidR="00C925F4" w:rsidRDefault="007C5EEE">
            <w:pPr>
              <w:jc w:val="right"/>
            </w:pPr>
            <w:r>
              <w:rPr>
                <w:b/>
                <w:bCs/>
              </w:rPr>
              <w:t>R$ 240.375,89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t>Margem EBIT</w:t>
            </w:r>
          </w:p>
        </w:tc>
        <w:tc>
          <w:tcPr>
            <w:tcW w:w="6349" w:type="dxa"/>
          </w:tcPr>
          <w:p w:rsidR="00C925F4" w:rsidRDefault="007C5EEE">
            <w:pPr>
              <w:jc w:val="right"/>
            </w:pPr>
            <w:r>
              <w:t>98.78%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rPr>
                <w:b/>
                <w:bCs/>
              </w:rPr>
              <w:t>Dívidas</w:t>
            </w:r>
          </w:p>
        </w:tc>
        <w:tc>
          <w:tcPr>
            <w:tcW w:w="6349" w:type="dxa"/>
          </w:tcPr>
          <w:p w:rsidR="00C925F4" w:rsidRDefault="007C5EEE">
            <w:pPr>
              <w:jc w:val="right"/>
            </w:pPr>
            <w:r>
              <w:rPr>
                <w:b/>
                <w:bCs/>
              </w:rPr>
              <w:t>R$ 208.498,45</w:t>
            </w:r>
          </w:p>
        </w:tc>
      </w:tr>
      <w:tr w:rsidR="00C925F4" w:rsidTr="009C0605">
        <w:tc>
          <w:tcPr>
            <w:tcW w:w="0" w:type="auto"/>
          </w:tcPr>
          <w:p w:rsidR="00C925F4" w:rsidRDefault="007C5EEE">
            <w:r>
              <w:rPr>
                <w:b/>
                <w:bCs/>
              </w:rPr>
              <w:t>Dinheiro em caixa</w:t>
            </w:r>
          </w:p>
        </w:tc>
        <w:tc>
          <w:tcPr>
            <w:tcW w:w="6349" w:type="dxa"/>
          </w:tcPr>
          <w:p w:rsidR="00C925F4" w:rsidRDefault="007C5EEE">
            <w:pPr>
              <w:jc w:val="right"/>
            </w:pPr>
            <w:r>
              <w:rPr>
                <w:b/>
                <w:bCs/>
              </w:rPr>
              <w:t>R$ 24.636,39</w:t>
            </w:r>
          </w:p>
        </w:tc>
      </w:tr>
      <w:bookmarkEnd w:id="14"/>
      <w:bookmarkEnd w:id="15"/>
      <w:bookmarkEnd w:id="18"/>
    </w:tbl>
    <w:p w:rsidR="00C925F4" w:rsidRDefault="007C5EEE">
      <w:r>
        <w:br w:type="page"/>
      </w:r>
    </w:p>
    <w:p w:rsidR="00C925F4" w:rsidRDefault="007C5EEE">
      <w:pPr>
        <w:pStyle w:val="Ttulo2"/>
      </w:pPr>
      <w:bookmarkStart w:id="19" w:name="risco"/>
      <w:bookmarkStart w:id="20" w:name="risk"/>
      <w:r>
        <w:lastRenderedPageBreak/>
        <w:t>Risco</w:t>
      </w:r>
    </w:p>
    <w:p w:rsidR="00C925F4" w:rsidRDefault="007C5EEE">
      <w:r>
        <w:t>Nas avaliações por Fluxo de Caixa Descontado, as taxas de desconto (utilizadas para trazer os fluxos de caixa futuros ao valor presente) devem refletir o grau de risco dos fluxos de caixa, e aqui que se introduz o risco relativo ao investir na empresa.</w:t>
      </w:r>
    </w:p>
    <w:p w:rsidR="00C925F4" w:rsidRDefault="007C5EEE">
      <w:r>
        <w:t xml:space="preserve">Os </w:t>
      </w:r>
      <w:r>
        <w:t xml:space="preserve">elementos usados no </w:t>
      </w:r>
      <w:r>
        <w:rPr>
          <w:b/>
          <w:bCs/>
        </w:rPr>
        <w:t>Cálculo da Taxa de Desconto</w:t>
      </w:r>
      <w:r>
        <w:t xml:space="preserve"> da empresa são os seguintes:</w:t>
      </w:r>
    </w:p>
    <w:p w:rsidR="00C925F4" w:rsidRDefault="007C5EEE">
      <w:bookmarkStart w:id="21" w:name="taxa-livre-de-risco-risk-free-rate"/>
      <w:r>
        <w:rPr>
          <w:b/>
          <w:bCs/>
        </w:rPr>
        <w:t>Taxa livre de risco (Risk Free Rate)</w:t>
      </w:r>
    </w:p>
    <w:p w:rsidR="00C925F4" w:rsidRDefault="007C5EEE">
      <w:r>
        <w:t>Demonstra quanto um investidor pode obter de rendimento no mercado financeiro livre de risco, e mostra a validade de investir em um negócio ar</w:t>
      </w:r>
      <w:r>
        <w:t>riscado. Esta taxa é a média dos títulos de 5 anos do Tesouro no Brasil, em 2025 ².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4857750" cy="3485435"/>
            <wp:effectExtent l="0" t="0" r="0" b="0"/>
            <wp:docPr id="61" name="Picture" descr="Taxa livre de ris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 descr="/var/www/valutech.io/form/assets/img/formula/taxa_livre_risc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854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r>
        <w:t>* O gráfico acima pode não corresponder ao valor atual.</w:t>
      </w:r>
    </w:p>
    <w:p w:rsidR="00C925F4" w:rsidRDefault="007C5EEE">
      <w:bookmarkStart w:id="22" w:name="resultado-calculado-13.53"/>
      <w:r>
        <w:t>Resultado calculado: 13.53%</w:t>
      </w:r>
    </w:p>
    <w:p w:rsidR="00C925F4" w:rsidRDefault="007C5EEE">
      <w:bookmarkStart w:id="23" w:name="risco-país-country-risk-premium"/>
      <w:bookmarkEnd w:id="21"/>
      <w:bookmarkEnd w:id="22"/>
      <w:r>
        <w:rPr>
          <w:b/>
          <w:bCs/>
        </w:rPr>
        <w:t>Risco País (Country Risk Premium)</w:t>
      </w:r>
    </w:p>
    <w:p w:rsidR="00C925F4" w:rsidRDefault="007C5EEE">
      <w:r>
        <w:t>O risco adicional ao investir em uma empresa no Brasil leva vários fatores macroeconômicos em consideração, como instabilidade política, inflação, taxa de juros voláteis, etc. De acordo com o risco extra associado ao Brasil em 2025 ¹.</w:t>
      </w:r>
    </w:p>
    <w:p w:rsidR="00C925F4" w:rsidRDefault="007C5EEE">
      <w:bookmarkStart w:id="24" w:name="resultado-calculado-3.34"/>
      <w:r>
        <w:t>Resultado calculado: 3.34%</w:t>
      </w:r>
    </w:p>
    <w:p w:rsidR="00C925F4" w:rsidRDefault="007C5EEE">
      <w:bookmarkStart w:id="25" w:name="X02bbc0e5357b38a8e1eff81d83456e579356eea"/>
      <w:bookmarkEnd w:id="23"/>
      <w:bookmarkEnd w:id="24"/>
      <w:r>
        <w:rPr>
          <w:b/>
          <w:bCs/>
        </w:rPr>
        <w:t>Prêmio do Risco de Capital Próprio (Equity Risk Premium)</w:t>
      </w:r>
    </w:p>
    <w:p w:rsidR="00C925F4" w:rsidRDefault="007C5EEE">
      <w:r>
        <w:t>É o retorno excedente mínimo que o investidor exige ao investir no mercado de ações sobre uma taxa livre de risco. Compensa os investidores por assumirem um risco relativam</w:t>
      </w:r>
      <w:r>
        <w:t>ente maior ao investir em empresas públicas. Foi adotado o retorno médio dos investimentos no mercado acionário brasileiro nos últimos 12 meses ¹.</w:t>
      </w:r>
    </w:p>
    <w:p w:rsidR="00C925F4" w:rsidRDefault="007C5EEE">
      <w:bookmarkStart w:id="26" w:name="resultado-calculado-7.67"/>
      <w:r>
        <w:lastRenderedPageBreak/>
        <w:t>Resultado calculado: 7.67%</w:t>
      </w:r>
    </w:p>
    <w:p w:rsidR="00C925F4" w:rsidRDefault="007C5EEE">
      <w:bookmarkStart w:id="27" w:name="custo-do-capital-próprio-cost-of-equity"/>
      <w:bookmarkEnd w:id="25"/>
      <w:bookmarkEnd w:id="26"/>
      <w:r>
        <w:rPr>
          <w:b/>
          <w:bCs/>
        </w:rPr>
        <w:t>Custo do Capital Próprio (Cost of Equity)</w:t>
      </w:r>
    </w:p>
    <w:p w:rsidR="00C925F4" w:rsidRDefault="007C5EEE">
      <w:r>
        <w:t>Reflete a taxa mínima que os investidore</w:t>
      </w:r>
      <w:r>
        <w:t>s exigem, teoricamente, ao investir em alguma empresa, marca ou outro ativo. Esta taxa é calculada da seguinte forma: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5397500" cy="418522"/>
            <wp:effectExtent l="0" t="0" r="0" b="0"/>
            <wp:docPr id="70" name="Picture" descr="Custo do capital próp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" descr="/var/www/valutech.io/form/assets/img/formula/cost_equit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18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r>
        <w:t>Onde:</w:t>
      </w:r>
      <w:r>
        <w:br/>
      </w:r>
      <w:r>
        <w:rPr>
          <w:i/>
          <w:iCs/>
        </w:rPr>
        <w:t>Rf</w:t>
      </w:r>
      <w:r>
        <w:t xml:space="preserve"> = Taxa Livre de Risco (Risk Free Rate)</w:t>
      </w:r>
      <w:r>
        <w:br/>
      </w:r>
      <w:r>
        <w:rPr>
          <w:i/>
          <w:iCs/>
        </w:rPr>
        <w:t>β</w:t>
      </w:r>
      <w:r>
        <w:t xml:space="preserve"> = Beta</w:t>
      </w:r>
      <w:r>
        <w:br/>
      </w:r>
      <w:r>
        <w:rPr>
          <w:i/>
          <w:iCs/>
        </w:rPr>
        <w:t>Equity Risk Premium</w:t>
      </w:r>
      <w:r>
        <w:t xml:space="preserve"> = Prêmio de Risco de Capital</w:t>
      </w:r>
      <w:r>
        <w:br/>
      </w:r>
      <w:r>
        <w:rPr>
          <w:i/>
          <w:iCs/>
        </w:rPr>
        <w:t>Country Risk Premium</w:t>
      </w:r>
      <w:r>
        <w:t xml:space="preserve"> = Prêmio </w:t>
      </w:r>
      <w:r>
        <w:t>de Risco País</w:t>
      </w:r>
    </w:p>
    <w:p w:rsidR="00C925F4" w:rsidRDefault="007C5EEE">
      <w:bookmarkStart w:id="28" w:name="resultado-calculado-2804"/>
      <w:r>
        <w:t>Resultado calculado: 28,04%</w:t>
      </w:r>
    </w:p>
    <w:p w:rsidR="00C925F4" w:rsidRDefault="007C5EEE">
      <w:bookmarkStart w:id="29" w:name="cálculo-do-beta"/>
      <w:bookmarkEnd w:id="27"/>
      <w:bookmarkEnd w:id="28"/>
      <w:r>
        <w:rPr>
          <w:b/>
          <w:bCs/>
        </w:rPr>
        <w:t>Cálculo do Beta</w:t>
      </w:r>
    </w:p>
    <w:p w:rsidR="00C925F4" w:rsidRDefault="007C5EEE">
      <w:r>
        <w:t xml:space="preserve">É considerado o beta de empresas similares do setor e a média da estrutura de capital destas. O beta resultante foi calculado com base em uma amostra de mais de 650 empresas de mercados emergentes, </w:t>
      </w:r>
      <w:r>
        <w:t>incluindo o Brasil, nos setores de Automóveis e Caminhões, Autopeças.</w:t>
      </w:r>
    </w:p>
    <w:p w:rsidR="00C925F4" w:rsidRDefault="007C5EEE">
      <w:bookmarkStart w:id="30" w:name="resultado-calculado-143"/>
      <w:r>
        <w:t>Resultado calculado: 1,43</w:t>
      </w:r>
    </w:p>
    <w:p w:rsidR="00C925F4" w:rsidRDefault="007C5EEE">
      <w:bookmarkStart w:id="31" w:name="custo-da-dívida-cost-of-debt"/>
      <w:bookmarkEnd w:id="29"/>
      <w:bookmarkEnd w:id="30"/>
      <w:r>
        <w:rPr>
          <w:b/>
          <w:bCs/>
        </w:rPr>
        <w:t>Custo da dívida (Cost of Debt)</w:t>
      </w:r>
    </w:p>
    <w:p w:rsidR="00C925F4" w:rsidRDefault="007C5EEE">
      <w:r>
        <w:t>Demonstra a taxa de juros teoricamente paga pela empresa em sua dívida atual e é calculado da seguinte forma: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5397500" cy="418522"/>
            <wp:effectExtent l="0" t="0" r="0" b="0"/>
            <wp:docPr id="77" name="Picture" descr="Custo da dívi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/var/www/valutech.io/form/assets/img/formula/cost_deb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18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r>
        <w:t>Onde:</w:t>
      </w:r>
      <w:r>
        <w:br/>
      </w:r>
      <w:r>
        <w:rPr>
          <w:i/>
          <w:iCs/>
        </w:rPr>
        <w:t>Rf</w:t>
      </w:r>
      <w:r>
        <w:t xml:space="preserve"> = taxa l</w:t>
      </w:r>
      <w:r>
        <w:t>ivre de risco</w:t>
      </w:r>
      <w:r>
        <w:br/>
      </w:r>
      <w:r>
        <w:rPr>
          <w:i/>
          <w:iCs/>
        </w:rPr>
        <w:t>Country Default Spread</w:t>
      </w:r>
      <w:r>
        <w:t xml:space="preserve"> = Risco padrão do país</w:t>
      </w:r>
      <w:r>
        <w:br/>
      </w:r>
      <w:r>
        <w:rPr>
          <w:i/>
          <w:iCs/>
        </w:rPr>
        <w:t>Company Default Spread</w:t>
      </w:r>
      <w:r>
        <w:t xml:space="preserve"> = Risco padrão da empresa</w:t>
      </w:r>
    </w:p>
    <w:p w:rsidR="00C925F4" w:rsidRDefault="007C5EEE">
      <w:r>
        <w:t>O risco padrão (spread) associado ao Brasil em 2025 é de 2.48% ¹.</w:t>
      </w:r>
    </w:p>
    <w:p w:rsidR="00C925F4" w:rsidRDefault="007C5EEE">
      <w:r>
        <w:t>Para fins de simplificação, o Company Default Spread calculado para todas as empr</w:t>
      </w:r>
      <w:r>
        <w:t xml:space="preserve">esas utilizando esta ferramenta será de </w:t>
      </w:r>
      <w:r>
        <w:rPr>
          <w:b/>
          <w:bCs/>
        </w:rPr>
        <w:t>0.45%</w:t>
      </w:r>
      <w:r>
        <w:t xml:space="preserve"> para países como o Brasil, que é o valor atribuído às empresas que possuem uma taxa de cobertura de juros ideal. Esta foi a política adotada, visto que pequenas e médias empresas tendem a pagar suas dívidas ráp</w:t>
      </w:r>
      <w:r>
        <w:t>ido ou sequer possuem dívidas expressivas, portanto a atribuição de um valor maior seria um excesso de penalização.</w:t>
      </w:r>
    </w:p>
    <w:p w:rsidR="00C925F4" w:rsidRDefault="007C5EEE">
      <w:bookmarkStart w:id="32" w:name="resultado-calculado-1732"/>
      <w:r>
        <w:t>Resultado calculado: 17,32%</w:t>
      </w:r>
    </w:p>
    <w:p w:rsidR="00C925F4" w:rsidRDefault="007C5EEE">
      <w:bookmarkStart w:id="33" w:name="custo-do-capital-cost-of-capital"/>
      <w:bookmarkEnd w:id="31"/>
      <w:bookmarkEnd w:id="32"/>
      <w:r>
        <w:rPr>
          <w:b/>
          <w:bCs/>
        </w:rPr>
        <w:t>Custo do Capital (Cost of Capital)</w:t>
      </w:r>
    </w:p>
    <w:p w:rsidR="00C925F4" w:rsidRDefault="007C5EEE">
      <w:r>
        <w:t>O custo do capital, ou WACC, refere-se ao custo de oportunidade ao fazer um i</w:t>
      </w:r>
      <w:r>
        <w:t xml:space="preserve">nvestimento. É o indicador que os investidores usam para saber se estão fazendo um bom negócio. Neste trabalho o custo de capital será a taxa usada para </w:t>
      </w:r>
      <w:r>
        <w:lastRenderedPageBreak/>
        <w:t>descontar os fluxos de caixa a valor presente. O custo de capital ponderado é calculado da seguinte for</w:t>
      </w:r>
      <w:r>
        <w:t>ma: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4286250" cy="419100"/>
            <wp:effectExtent l="0" t="0" r="0" b="0"/>
            <wp:docPr id="82" name="Picture" descr="Custo do capi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" descr="/var/www/valutech.io/form/assets/img/formula/cost_capital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r>
        <w:t>Onde:</w:t>
      </w:r>
    </w:p>
    <w:p w:rsidR="00C925F4" w:rsidRDefault="007C5EEE">
      <w:r>
        <w:rPr>
          <w:i/>
          <w:iCs/>
        </w:rPr>
        <w:t>Cost of Equity</w:t>
      </w:r>
      <w:r>
        <w:t xml:space="preserve"> = Custo do Capital Próprio</w:t>
      </w:r>
      <w:r>
        <w:br/>
      </w:r>
      <w:r>
        <w:rPr>
          <w:i/>
          <w:iCs/>
        </w:rPr>
        <w:t>Cost of Debt</w:t>
      </w:r>
      <w:r>
        <w:t xml:space="preserve"> = Custo da Dívida</w:t>
      </w:r>
      <w:r>
        <w:br/>
      </w:r>
      <w:r>
        <w:rPr>
          <w:i/>
          <w:iCs/>
        </w:rPr>
        <w:t>E</w:t>
      </w:r>
      <w:r>
        <w:t xml:space="preserve"> = Patrimônio Líquido/capital próprio da empresa</w:t>
      </w:r>
      <w:r>
        <w:br/>
      </w:r>
      <w:r>
        <w:rPr>
          <w:i/>
          <w:iCs/>
        </w:rPr>
        <w:t>D</w:t>
      </w:r>
      <w:r>
        <w:t xml:space="preserve"> = Dívida/passivo da empresa</w:t>
      </w:r>
      <w:r>
        <w:br/>
      </w:r>
      <w:r>
        <w:rPr>
          <w:i/>
          <w:iCs/>
        </w:rPr>
        <w:t>t</w:t>
      </w:r>
      <w:r>
        <w:t xml:space="preserve"> = Alíquota de Imposto Marginal no Brasil</w:t>
      </w:r>
    </w:p>
    <w:p w:rsidR="00C925F4" w:rsidRDefault="007C5EEE">
      <w:r>
        <w:t>Os seguintes índices D/E (endividamento de empresas dos mesmos setores em mercados emergentes, incluindo o brasileiro) foram usados para o cálculo ¹:</w:t>
      </w:r>
    </w:p>
    <w:tbl>
      <w:tblPr>
        <w:tblW w:w="0" w:type="auto"/>
        <w:tblLook w:val="0020" w:firstRow="1" w:lastRow="0" w:firstColumn="0" w:lastColumn="0" w:noHBand="0" w:noVBand="0"/>
      </w:tblPr>
      <w:tblGrid>
        <w:gridCol w:w="2818"/>
        <w:gridCol w:w="1050"/>
        <w:gridCol w:w="1229"/>
        <w:gridCol w:w="959"/>
      </w:tblGrid>
      <w:tr w:rsidR="00C925F4">
        <w:trPr>
          <w:tblHeader/>
        </w:trPr>
        <w:tc>
          <w:tcPr>
            <w:tcW w:w="0" w:type="auto"/>
          </w:tcPr>
          <w:p w:rsidR="00C925F4" w:rsidRDefault="007C5EEE">
            <w:r>
              <w:t>Setor</w:t>
            </w:r>
          </w:p>
        </w:tc>
        <w:tc>
          <w:tcPr>
            <w:tcW w:w="0" w:type="auto"/>
          </w:tcPr>
          <w:p w:rsidR="00C925F4" w:rsidRDefault="007C5EEE">
            <w:pPr>
              <w:jc w:val="center"/>
            </w:pPr>
            <w:r>
              <w:t>Beta (β)</w:t>
            </w:r>
          </w:p>
        </w:tc>
        <w:tc>
          <w:tcPr>
            <w:tcW w:w="0" w:type="auto"/>
          </w:tcPr>
          <w:p w:rsidR="00C925F4" w:rsidRDefault="007C5EEE">
            <w:pPr>
              <w:jc w:val="center"/>
            </w:pPr>
            <w:r>
              <w:t>Empresas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D/E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Automóveis e Caminhões</w:t>
            </w:r>
          </w:p>
        </w:tc>
        <w:tc>
          <w:tcPr>
            <w:tcW w:w="0" w:type="auto"/>
          </w:tcPr>
          <w:p w:rsidR="00C925F4" w:rsidRDefault="007C5EEE">
            <w:pPr>
              <w:jc w:val="center"/>
            </w:pPr>
            <w:r>
              <w:t>1.51</w:t>
            </w:r>
          </w:p>
        </w:tc>
        <w:tc>
          <w:tcPr>
            <w:tcW w:w="0" w:type="auto"/>
          </w:tcPr>
          <w:p w:rsidR="00C925F4" w:rsidRDefault="007C5EEE">
            <w:pPr>
              <w:jc w:val="center"/>
            </w:pPr>
            <w:r>
              <w:t>86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37.20%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Autopeças</w:t>
            </w:r>
          </w:p>
        </w:tc>
        <w:tc>
          <w:tcPr>
            <w:tcW w:w="0" w:type="auto"/>
          </w:tcPr>
          <w:p w:rsidR="00C925F4" w:rsidRDefault="007C5EEE">
            <w:pPr>
              <w:jc w:val="center"/>
            </w:pPr>
            <w:r>
              <w:t>1.35</w:t>
            </w:r>
          </w:p>
        </w:tc>
        <w:tc>
          <w:tcPr>
            <w:tcW w:w="0" w:type="auto"/>
          </w:tcPr>
          <w:p w:rsidR="00C925F4" w:rsidRDefault="007C5EEE">
            <w:pPr>
              <w:jc w:val="center"/>
            </w:pPr>
            <w:r>
              <w:t>571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22.59%</w:t>
            </w:r>
          </w:p>
        </w:tc>
      </w:tr>
    </w:tbl>
    <w:p w:rsidR="00C925F4" w:rsidRDefault="007C5EEE">
      <w:bookmarkStart w:id="34" w:name="resultado-calculado-2438"/>
      <w:r>
        <w:t>Resultado calculado: 24,38%</w:t>
      </w:r>
    </w:p>
    <w:bookmarkEnd w:id="19"/>
    <w:bookmarkEnd w:id="20"/>
    <w:bookmarkEnd w:id="33"/>
    <w:bookmarkEnd w:id="34"/>
    <w:p w:rsidR="00C925F4" w:rsidRDefault="007C5EEE">
      <w:r>
        <w:br w:type="page"/>
      </w:r>
    </w:p>
    <w:p w:rsidR="00C925F4" w:rsidRDefault="007C5EEE">
      <w:pPr>
        <w:pStyle w:val="Ttulo2"/>
      </w:pPr>
      <w:bookmarkStart w:id="35" w:name="X7bed6e688de495061caceb75030867750b02925"/>
      <w:bookmarkStart w:id="36" w:name="valuation1"/>
      <w:r>
        <w:lastRenderedPageBreak/>
        <w:t>Método 1: Avaliação da empresa com o método DCF</w:t>
      </w:r>
    </w:p>
    <w:p w:rsidR="00C925F4" w:rsidRDefault="007C5EEE">
      <w:r>
        <w:t>Receitas extraordinárias:</w:t>
      </w:r>
      <w:r>
        <w:br/>
        <w:t xml:space="preserve">(+) </w:t>
      </w:r>
      <w:r>
        <w:rPr>
          <w:b/>
          <w:bCs/>
        </w:rPr>
        <w:t>R$ 5.000,00</w:t>
      </w:r>
    </w:p>
    <w:p w:rsidR="00C925F4" w:rsidRDefault="007C5EEE">
      <w:r>
        <w:t>Despesas extraordinárias:</w:t>
      </w:r>
      <w:r>
        <w:br/>
        <w:t xml:space="preserve">(-) </w:t>
      </w:r>
      <w:r>
        <w:rPr>
          <w:b/>
          <w:bCs/>
        </w:rPr>
        <w:t>R$ 17.550,00</w:t>
      </w:r>
    </w:p>
    <w:p w:rsidR="00C925F4" w:rsidRDefault="007C5EEE">
      <w:r>
        <w:t>Ativos não operacionais:</w:t>
      </w:r>
      <w:r>
        <w:br/>
        <w:t xml:space="preserve">(+) </w:t>
      </w:r>
      <w:r>
        <w:rPr>
          <w:b/>
          <w:bCs/>
        </w:rPr>
        <w:t>R$ 94.000,00</w:t>
      </w:r>
    </w:p>
    <w:p w:rsidR="00C925F4" w:rsidRDefault="007C5EEE">
      <w:r>
        <w:t xml:space="preserve">Valuation ajustado: R$ </w:t>
      </w:r>
      <w:r>
        <w:rPr>
          <w:b/>
          <w:bCs/>
        </w:rPr>
        <w:t>1.062.777,55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5238750" cy="3367767"/>
            <wp:effectExtent l="0" t="0" r="0" b="0"/>
            <wp:docPr id="89" name="Picture" descr="Gráfico de projeç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https://image-charts.com/chart?chbr=4&amp;chd=a%3A218417.65%2C230766.98%2C243812.09%2C257322.36%2C271580.07&amp;chco=1935b2&amp;chf=b0%2Clg%2C90%2C663be97C%2C0%2C1935b2FF%2C1&amp;chg=1%2C1%2C2%2C2&amp;chl=2026%7C2027%7C2028%7C2029%7C2030&amp;chof=1535403433426&amp;chxl=0%3A%7C218.417%2C65%7C230.766%2C98%7C243.812%2C09%7C257.322%2C36%7C271.580%2C07&amp;chs=700x450&amp;cht=bvs&amp;chtt=Proje%C3%A7%C3%A3o+de+Fluxo+de+Caixa+Livre+para+a+Empresa+em+R%24+%28FCFF%29&amp;chxs=1N%2AcBRLs%2A&amp;chxt=x%2Cy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677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bookmarkStart w:id="37" w:name="parâmetros-de-risco"/>
      <w:r>
        <w:rPr>
          <w:noProof/>
          <w:lang w:eastAsia="pt-BR"/>
        </w:rPr>
        <w:drawing>
          <wp:inline distT="0" distB="0" distL="0" distR="0">
            <wp:extent cx="171450" cy="17145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/var/www/valutech.io/form/assets/img/icon/param_ris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>Parâmetros de risco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190500" cy="190500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/var/www/valutech.io/form/assets/img/icon/beta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Beta: </w:t>
      </w:r>
      <w:r>
        <w:rPr>
          <w:b/>
          <w:bCs/>
        </w:rPr>
        <w:t>1.43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190500" cy="19050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/var/www/valutech.io/form/assets/img/icon/discount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Taxa de desconto (Custo do Capital - WACC): </w:t>
      </w:r>
      <w:r>
        <w:rPr>
          <w:b/>
          <w:bCs/>
        </w:rPr>
        <w:t>24,38%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190500" cy="190500"/>
            <wp:effectExtent l="0" t="0" r="0" b="0"/>
            <wp:docPr id="10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" descr="/var/www/valutech.io/form/assets/img/icon/discount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Desconto de iliquidez: </w:t>
      </w:r>
      <w:r>
        <w:rPr>
          <w:b/>
          <w:bCs/>
        </w:rPr>
        <w:t>15%</w:t>
      </w:r>
    </w:p>
    <w:p w:rsidR="00C925F4" w:rsidRDefault="007C5EEE">
      <w:bookmarkStart w:id="38" w:name="parâmetros-diversos"/>
      <w:bookmarkEnd w:id="37"/>
      <w:r>
        <w:rPr>
          <w:noProof/>
          <w:lang w:eastAsia="pt-BR"/>
        </w:rPr>
        <w:drawing>
          <wp:inline distT="0" distB="0" distL="0" distR="0">
            <wp:extent cx="171450" cy="171450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/var/www/valutech.io/form/assets/img/icon/param_div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Parâmetros diversos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190500" cy="190500"/>
            <wp:effectExtent l="0" t="0" r="0" b="0"/>
            <wp:docPr id="10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" descr="/var/www/valutech.io/form/assets/img/icon/dollar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Cotação do dólar: </w:t>
      </w:r>
      <w:r>
        <w:rPr>
          <w:b/>
          <w:bCs/>
        </w:rPr>
        <w:t>R$ 5.49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190500" cy="190500"/>
            <wp:effectExtent l="0" t="0" r="0" b="0"/>
            <wp:docPr id="10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" descr="/var/www/valutech.io/form/assets/img/icon/dollar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IPCA acumulado 12 meses: </w:t>
      </w:r>
      <w:r>
        <w:rPr>
          <w:b/>
          <w:bCs/>
        </w:rPr>
        <w:t>5.32%</w:t>
      </w:r>
    </w:p>
    <w:p w:rsidR="00C925F4" w:rsidRDefault="007C5EEE">
      <w:bookmarkStart w:id="39" w:name="parâmetros-de-desempenho"/>
      <w:bookmarkEnd w:id="38"/>
      <w:r>
        <w:rPr>
          <w:noProof/>
          <w:lang w:eastAsia="pt-BR"/>
        </w:rPr>
        <w:drawing>
          <wp:inline distT="0" distB="0" distL="0" distR="0">
            <wp:extent cx="171450" cy="171450"/>
            <wp:effectExtent l="0" t="0" r="0" b="0"/>
            <wp:docPr id="11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" descr="/var/www/valutech.io/form/assets/img/icon/param_perf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Parâmetros de desempenho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190500" cy="190500"/>
            <wp:effectExtent l="0" t="0" r="0" b="0"/>
            <wp:docPr id="11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" descr="/var/www/valutech.io/form/assets/img/icon/roic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Retorno Sobre o Capital Inves</w:t>
      </w:r>
      <w:r>
        <w:t xml:space="preserve">tido (ROIC): </w:t>
      </w:r>
      <w:r>
        <w:rPr>
          <w:b/>
          <w:bCs/>
        </w:rPr>
        <w:t>0,00%</w:t>
      </w:r>
    </w:p>
    <w:bookmarkEnd w:id="35"/>
    <w:bookmarkEnd w:id="36"/>
    <w:bookmarkEnd w:id="39"/>
    <w:p w:rsidR="00C925F4" w:rsidRDefault="007C5EEE">
      <w:r>
        <w:br w:type="page"/>
      </w:r>
    </w:p>
    <w:p w:rsidR="00C925F4" w:rsidRDefault="007C5EEE">
      <w:bookmarkStart w:id="40" w:name="moeda"/>
      <w:bookmarkStart w:id="41" w:name="valuation1-2"/>
      <w:r>
        <w:rPr>
          <w:b/>
          <w:bCs/>
        </w:rPr>
        <w:lastRenderedPageBreak/>
        <w:t>Moeda</w:t>
      </w:r>
    </w:p>
    <w:p w:rsidR="00C925F4" w:rsidRDefault="007C5EEE">
      <w:r>
        <w:t>Todas as projeções foram elaboradas utilizando o Real Brasileiro (R$) em termos nominais, levando em consideração a inflação;</w:t>
      </w:r>
    </w:p>
    <w:p w:rsidR="00C925F4" w:rsidRDefault="007C5EEE">
      <w:bookmarkStart w:id="42" w:name="reinvestimento"/>
      <w:bookmarkEnd w:id="40"/>
      <w:r>
        <w:rPr>
          <w:b/>
          <w:bCs/>
        </w:rPr>
        <w:t>Reinvestimento</w:t>
      </w:r>
    </w:p>
    <w:p w:rsidR="00C925F4" w:rsidRDefault="007C5EEE">
      <w:r>
        <w:t>O reinvestimento necessário para fomentar o crescimento estimado pelo usuário (e então c</w:t>
      </w:r>
      <w:r>
        <w:t>hegar no Fluxo de Caixa Livre para a Empresa) está diretamente ligado ao desempenho da operação e gestão, mensurado através do ROIC (Ver Glossário de Termos), utilizando o valor contábil do capital investido na empresa. Tanto o ROIC como os reinvestimentos</w:t>
      </w:r>
      <w:r>
        <w:t xml:space="preserve"> necessários seguem as fórmulas abaixo: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5397500" cy="766601"/>
            <wp:effectExtent l="0" t="0" r="0" b="0"/>
            <wp:docPr id="123" name="Picture" descr="RO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" descr="/var/www/valutech.io/form/assets/img/formula/roic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666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5397500" cy="623048"/>
            <wp:effectExtent l="0" t="0" r="0" b="0"/>
            <wp:docPr id="126" name="Picture" descr="Reinvestm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" descr="/var/www/valutech.io/form/assets/img/formula/reinvestment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6230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bookmarkStart w:id="43" w:name="fcff"/>
      <w:bookmarkEnd w:id="42"/>
      <w:r>
        <w:rPr>
          <w:b/>
          <w:bCs/>
        </w:rPr>
        <w:t>FCFF</w:t>
      </w:r>
    </w:p>
    <w:p w:rsidR="00C925F4" w:rsidRDefault="007C5EEE">
      <w:r>
        <w:t>O Fluxo de Caixa Livre para a Empresa (FCFF) é o excesso operacional de caixa que pode ser destinado aos credores e acionistas (no caso os sócios). Basicamente é o que “sobra” para pagar credores e sócios de</w:t>
      </w:r>
      <w:r>
        <w:t>pois de pagar as despesas e necessidades de reinvestimento.</w:t>
      </w:r>
    </w:p>
    <w:p w:rsidR="00C925F4" w:rsidRDefault="007C5EEE">
      <w:r>
        <w:t>De acordo com Assaf Neto (2019), o Fluxo de Caixa Livre é o valor de caixa que a empresa é capaz de gerar livre de despesas, necessidades de reinvestimento e investimento em giro. Resumindo, o FCL</w:t>
      </w:r>
      <w:r>
        <w:t xml:space="preserve"> é o resultado de caixa obtido além do necessário para financiar seus investimentos e prover crescimento da empresa.</w:t>
      </w:r>
    </w:p>
    <w:p w:rsidR="00C925F4" w:rsidRDefault="007C5EEE">
      <w:bookmarkStart w:id="44" w:name="horizonte-de-projeção"/>
      <w:bookmarkEnd w:id="43"/>
      <w:r>
        <w:rPr>
          <w:b/>
          <w:bCs/>
        </w:rPr>
        <w:t>Horizonte de Projeção</w:t>
      </w:r>
    </w:p>
    <w:p w:rsidR="00C925F4" w:rsidRDefault="007C5EEE">
      <w:r>
        <w:t>Pelo desempenho histórico de muitas pequenas e médias empresas brasileiras seria possível projetar os fluxos de caixa</w:t>
      </w:r>
      <w:r>
        <w:t xml:space="preserve"> das mesmas até o infinito, teoricamente falando. No entanto, como é impossível estimar o futuro com precisão e por praticidade, considera-se um horizonte de projeção de alguns anos, neste caso 5 anos, e ao fim desta projeção calcula-se um valor de fechame</w:t>
      </w:r>
      <w:r>
        <w:t>nto (também conhecido como valor terminal ou valor da perpetuidade).</w:t>
      </w:r>
    </w:p>
    <w:p w:rsidR="00C925F4" w:rsidRDefault="007C5EEE">
      <w:r>
        <w:t>O valor de fechamento é composto da seguinte fórmula: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5397500" cy="1086996"/>
            <wp:effectExtent l="0" t="0" r="0" b="0"/>
            <wp:docPr id="131" name="Picture" descr="Valor term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/var/www/valutech.io/form/assets/img/formula/terminal_value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086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r>
        <w:t>Onde:</w:t>
      </w:r>
    </w:p>
    <w:p w:rsidR="00C925F4" w:rsidRDefault="007C5EEE">
      <w:r>
        <w:lastRenderedPageBreak/>
        <w:t>FCFF: Fluxo de caixa livre para a empresa</w:t>
      </w:r>
      <w:r>
        <w:br/>
        <w:t>t = Período(ano)</w:t>
      </w:r>
      <w:r>
        <w:br/>
        <w:t>r = Taxa de desconto (custo do capital)</w:t>
      </w:r>
      <w:r>
        <w:br/>
      </w:r>
      <w:r>
        <w:t>g = Taxa de crescimento prevista</w:t>
      </w:r>
    </w:p>
    <w:bookmarkEnd w:id="41"/>
    <w:bookmarkEnd w:id="44"/>
    <w:p w:rsidR="00C925F4" w:rsidRDefault="007C5EEE">
      <w:r>
        <w:br w:type="page"/>
      </w:r>
    </w:p>
    <w:p w:rsidR="00C925F4" w:rsidRDefault="007C5EEE">
      <w:pPr>
        <w:pStyle w:val="Ttulo2"/>
      </w:pPr>
      <w:bookmarkStart w:id="45" w:name="projeções-financeiras-com-dcf"/>
      <w:bookmarkStart w:id="46" w:name="projections"/>
      <w:r>
        <w:lastRenderedPageBreak/>
        <w:t>Projeções financeiras com DCF</w:t>
      </w:r>
    </w:p>
    <w:p w:rsidR="00C925F4" w:rsidRDefault="007C5EEE">
      <w:r>
        <w:t>Os gráficos das projeções são exibidas abaixo, baseados nos dados de receitas, taxas e cenário fornecidos pelo usuário.</w:t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5238750" cy="2993571"/>
            <wp:effectExtent l="0" t="0" r="0" b="0"/>
            <wp:docPr id="136" name="Picture" descr="Gráfico de projeção de recei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" descr="https://image-charts.com/chart?chbr=4&amp;chd=a%3A256295.20%2C269930.10%2C284290.38%2C299414.63%2C315343.49&amp;chco=1935b2&amp;chg=1%2C1%2C2%2C2&amp;chf=b0%2Clg%2C90%2C663be97C%2C0%2C1935b2FF%2C1&amp;chl=2026%7C2027%7C2028%7C2029%7C2030&amp;chxl=0%3A%7C256.295%2C20%7C269.930%2C10%7C284.290%2C38%7C299.414%2C63%7C315.343%2C49&amp;chof=1535403433426&amp;chs=700x400&amp;cht=bvs&amp;chtt=Proje%C3%A7%C3%A3o+de+crescimento+da+receita+em+R%24+%285+anos%29&amp;chxs=1N%2AcBRL0sz%2A&amp;chxt=x%2Cy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935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F4" w:rsidRDefault="007C5EEE">
      <w:r>
        <w:rPr>
          <w:noProof/>
          <w:lang w:eastAsia="pt-BR"/>
        </w:rPr>
        <w:drawing>
          <wp:inline distT="0" distB="0" distL="0" distR="0">
            <wp:extent cx="5238750" cy="2993571"/>
            <wp:effectExtent l="0" t="0" r="0" b="0"/>
            <wp:docPr id="139" name="Picture" descr="Gráfico de EB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" descr="https://image-charts.com/chart?chbr=4&amp;chd=a%3A253163.89%2C266632.21%2C280817.04%2C295756.51%2C311490.76&amp;chco=1935b2&amp;chg=1%2C1%2C2%2C2&amp;chf=b0%2Clg%2C90%2C663be97C%2C0%2C1935b2FF%2C1&amp;chl=2026%7C2027%7C2028%7C2029%7C2030&amp;chxl=0%3A%7C253.163%2C89%7C266.632%2C21%7C280.817%2C04%7C295.756%2C51%7C311.490%2C76&amp;chof=1535403433426&amp;chs=700x400&amp;cht=bvs&amp;chtt=Proje%C3%A7%C3%A3o+de+crescimento+do+EBIT+em+R%24+%285+anos%29&amp;chxs=1N%2AcBRL0sz%2A&amp;chxt=x%2Cy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935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End w:id="46"/>
    <w:p w:rsidR="00C925F4" w:rsidRDefault="007C5EEE">
      <w:r>
        <w:br w:type="page"/>
      </w:r>
    </w:p>
    <w:p w:rsidR="00C925F4" w:rsidRDefault="007C5EEE">
      <w:pPr>
        <w:pStyle w:val="Ttulo2"/>
      </w:pPr>
      <w:bookmarkStart w:id="47" w:name="X296eef769be709ed8c308a34e7a838f90070ab1"/>
      <w:bookmarkStart w:id="48" w:name="valuation2"/>
      <w:r>
        <w:lastRenderedPageBreak/>
        <w:t>Método 2: Avaliação da empresa com o método de múltiplos de mercado</w:t>
      </w:r>
    </w:p>
    <w:p w:rsidR="00C925F4" w:rsidRDefault="007C5EEE">
      <w:r>
        <w:t>Um dos componentes mais desafiadores do valuation de pequenas e médias empresas, é que não existem empresas exatamente iguais; Dessa forma, é necessário encontrar outras empresas semelhant</w:t>
      </w:r>
      <w:r>
        <w:t>es para poder realizar a comparação. Mais especificamente, usando o EV/Sales (múltiplo de faturamento utilizado inclusive no mercado de ações) e EV/EBIT (múltiplo baseado no lucro operacional da empresa), que agrega ao valor da empresa os reflexos de dívid</w:t>
      </w:r>
      <w:r>
        <w:t>as e dinheiro em caixa.</w:t>
      </w:r>
    </w:p>
    <w:p w:rsidR="00C925F4" w:rsidRDefault="007C5EEE">
      <w:bookmarkStart w:id="49" w:name="como-se-calcula-esses-múltiplos"/>
      <w:r>
        <w:t>Como se calcula esses múltiplos?</w:t>
      </w:r>
    </w:p>
    <w:p w:rsidR="00C925F4" w:rsidRDefault="007C5EEE">
      <w:r>
        <w:t>Usando uma amostra de centenas de pequenas e médias empresas previamente avaliadas, calculamos o múltiplo da empresa de acordo com o faturamento, lucratividade, setor e geolocalização. Você pode desc</w:t>
      </w:r>
      <w:r>
        <w:t>obrir cada valor simplesmente multiplicando o dado do múltiplo (faturamento e EBIT) pelos múltiplos abaixo.</w:t>
      </w:r>
    </w:p>
    <w:p w:rsidR="00C925F4" w:rsidRDefault="007C5EEE">
      <w:r>
        <w:t>Os Múltiplos de Valor de Mercado mais adequados calculados são:</w:t>
      </w:r>
    </w:p>
    <w:p w:rsidR="00C925F4" w:rsidRDefault="007C5EEE">
      <w:r>
        <w:t xml:space="preserve">EV/Sales: </w:t>
      </w:r>
      <w:r>
        <w:rPr>
          <w:b/>
          <w:bCs/>
        </w:rPr>
        <w:t>11.70 x</w:t>
      </w:r>
      <w:r>
        <w:t xml:space="preserve"> (multiplique pelo faturamento anual)</w:t>
      </w:r>
    </w:p>
    <w:p w:rsidR="00C925F4" w:rsidRDefault="007C5EEE">
      <w:r>
        <w:t xml:space="preserve">EV/EBIT: </w:t>
      </w:r>
      <w:r>
        <w:rPr>
          <w:b/>
          <w:bCs/>
        </w:rPr>
        <w:t>5.53 x</w:t>
      </w:r>
      <w:r>
        <w:t xml:space="preserve"> (multiplique </w:t>
      </w:r>
      <w:r>
        <w:t>pelo EBIT)</w:t>
      </w:r>
    </w:p>
    <w:bookmarkEnd w:id="47"/>
    <w:bookmarkEnd w:id="48"/>
    <w:bookmarkEnd w:id="49"/>
    <w:p w:rsidR="00C925F4" w:rsidRDefault="007C5EEE">
      <w:r>
        <w:br w:type="page"/>
      </w:r>
    </w:p>
    <w:p w:rsidR="00C925F4" w:rsidRDefault="007C5EEE">
      <w:pPr>
        <w:pStyle w:val="Ttulo2"/>
      </w:pPr>
      <w:bookmarkStart w:id="50" w:name="referências-bibliográficas"/>
      <w:bookmarkStart w:id="51" w:name="bibliography"/>
      <w:r>
        <w:lastRenderedPageBreak/>
        <w:t>Referências Bibliográficas</w:t>
      </w:r>
    </w:p>
    <w:p w:rsidR="00C925F4" w:rsidRDefault="007C5EEE">
      <w:r>
        <w:t xml:space="preserve">Damodaran, A (2007). </w:t>
      </w:r>
      <w:r>
        <w:rPr>
          <w:i/>
          <w:iCs/>
        </w:rPr>
        <w:t>Avaliação de Empresas - 2ª Edição</w:t>
      </w:r>
      <w:r>
        <w:t>. São Paulo: Pearson Prentice Hall;</w:t>
      </w:r>
    </w:p>
    <w:p w:rsidR="00C925F4" w:rsidRDefault="007C5EEE">
      <w:r>
        <w:t xml:space="preserve">Damodaran, A. (2011). </w:t>
      </w:r>
      <w:r>
        <w:rPr>
          <w:i/>
          <w:iCs/>
        </w:rPr>
        <w:t>The Little Book of Valuation: How to Value a Company, Pick a Stock and Profit</w:t>
      </w:r>
      <w:r>
        <w:t>. John Wiley &amp; Sons, Inc.;</w:t>
      </w:r>
    </w:p>
    <w:p w:rsidR="00C925F4" w:rsidRDefault="007C5EEE">
      <w:r>
        <w:t xml:space="preserve">Marques, K. C. (2015). </w:t>
      </w:r>
      <w:r>
        <w:rPr>
          <w:i/>
          <w:iCs/>
        </w:rPr>
        <w:t>Análise Financeira das Empresas 2ª Edição</w:t>
      </w:r>
      <w:r>
        <w:t>. São Paulo: Freitas Bastos Editora;</w:t>
      </w:r>
    </w:p>
    <w:p w:rsidR="00C925F4" w:rsidRDefault="007C5EEE">
      <w:r>
        <w:t xml:space="preserve">Damodaran, A. (2017). </w:t>
      </w:r>
      <w:r>
        <w:rPr>
          <w:i/>
          <w:iCs/>
        </w:rPr>
        <w:t>Narrative and Numbers: The Value of Stories in Business</w:t>
      </w:r>
      <w:r>
        <w:t>. New York: Columbia University Press;</w:t>
      </w:r>
    </w:p>
    <w:p w:rsidR="00C925F4" w:rsidRDefault="007C5EEE">
      <w:r>
        <w:t xml:space="preserve">Neto, A. A. (2019). </w:t>
      </w:r>
      <w:r>
        <w:rPr>
          <w:i/>
          <w:iCs/>
        </w:rPr>
        <w:t>Valuation: Métricas</w:t>
      </w:r>
      <w:r>
        <w:rPr>
          <w:i/>
          <w:iCs/>
        </w:rPr>
        <w:t xml:space="preserve"> &amp; Avaliação de Empresas</w:t>
      </w:r>
      <w:r>
        <w:t>. 2ª Edição. São Paulo: Editora Atlas;</w:t>
      </w:r>
    </w:p>
    <w:p w:rsidR="00C925F4" w:rsidRDefault="007C5EEE">
      <w:r>
        <w:t xml:space="preserve">Salinas, G. (2009). </w:t>
      </w:r>
      <w:r>
        <w:rPr>
          <w:i/>
          <w:iCs/>
        </w:rPr>
        <w:t>The International Brand Valuation Manual</w:t>
      </w:r>
      <w:r>
        <w:t>. Madrid: Editora Wiley;</w:t>
      </w:r>
    </w:p>
    <w:p w:rsidR="00C925F4" w:rsidRDefault="007C5EEE">
      <w:r>
        <w:t>¹ Site do Professor Aswath Damodaran &lt;http://pages.stern.nyu.edu/~adamodar/&gt;;</w:t>
      </w:r>
    </w:p>
    <w:p w:rsidR="00C925F4" w:rsidRDefault="007C5EEE">
      <w:r>
        <w:t>² Trading Economics &lt;https://t</w:t>
      </w:r>
      <w:r>
        <w:t>radingeconomics.com/brazil/government-bond-yield&gt;.</w:t>
      </w:r>
    </w:p>
    <w:bookmarkEnd w:id="50"/>
    <w:bookmarkEnd w:id="51"/>
    <w:p w:rsidR="00C925F4" w:rsidRDefault="007C5EEE">
      <w:r>
        <w:br w:type="page"/>
      </w:r>
    </w:p>
    <w:p w:rsidR="00C925F4" w:rsidRDefault="007C5EEE">
      <w:pPr>
        <w:pStyle w:val="Ttulo2"/>
      </w:pPr>
      <w:bookmarkStart w:id="52" w:name="tabela-de-valor"/>
      <w:bookmarkStart w:id="53" w:name="attachments1"/>
      <w:r>
        <w:lastRenderedPageBreak/>
        <w:t>Tabela de valor</w:t>
      </w:r>
    </w:p>
    <w:tbl>
      <w:tblPr>
        <w:tblW w:w="0" w:type="auto"/>
        <w:tblLook w:val="0020" w:firstRow="1" w:lastRow="0" w:firstColumn="0" w:lastColumn="0" w:noHBand="0" w:noVBand="0"/>
      </w:tblPr>
      <w:tblGrid>
        <w:gridCol w:w="1374"/>
        <w:gridCol w:w="1008"/>
        <w:gridCol w:w="1003"/>
        <w:gridCol w:w="995"/>
        <w:gridCol w:w="1013"/>
        <w:gridCol w:w="984"/>
        <w:gridCol w:w="984"/>
        <w:gridCol w:w="1143"/>
      </w:tblGrid>
      <w:tr w:rsidR="00C925F4">
        <w:trPr>
          <w:tblHeader/>
        </w:trPr>
        <w:tc>
          <w:tcPr>
            <w:tcW w:w="0" w:type="auto"/>
          </w:tcPr>
          <w:p w:rsidR="00C925F4" w:rsidRDefault="007C5EEE">
            <w:r>
              <w:t>Período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Ano-base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2026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2027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2028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2029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2030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Perpetuidade (VT)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Receitas (em R$)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243.349,03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256.295,20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269.930,10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284.290,38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299.414,63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315.343,49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332.119,76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Cresc. receita 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5.32%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5.32%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5.32%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5.32%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5.32%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5.32%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5.32%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EBIT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240.375,89 (98.78%)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253.163,89 (98.78%)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266.632,21 (98.78%)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280.817,04 (98.78%)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295.756,51 (98.78%)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311.490,76 (98.78%)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328.062,07 (98.78%)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Cresc. EBIT 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5,32%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5,32%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5,32%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5,32%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5,32%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5,32%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5.32%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Alíquota impostos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8.80%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8.80%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8.80%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8.80%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8.80%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8.80%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8.80%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EBIT (1-t) NOPAT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219.222,81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230.885,47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243.168,58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256.105,14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269.729,94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284.079,57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299.192,61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(-) Reinvestimentos 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5.4%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5.1%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4.8%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4.6%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4.4%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4.4%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FCFF (FCL)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218.417,65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230.766,98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243.812,09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257.322,36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271.580,07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286.028,13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Valor terminal *</w:t>
            </w:r>
          </w:p>
        </w:tc>
        <w:tc>
          <w:tcPr>
            <w:tcW w:w="0" w:type="auto"/>
            <w:gridSpan w:val="7"/>
          </w:tcPr>
          <w:p w:rsidR="00C925F4" w:rsidRDefault="007C5EEE">
            <w:pPr>
              <w:jc w:val="right"/>
            </w:pPr>
            <w:r>
              <w:t>R$ 1.500.672,26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Custo do capital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24.38%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24.38%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24.38%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24.38%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24.38%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24.38%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Fator de desconto acumulado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0.804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0.646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0.520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0.418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0.336</w:t>
            </w:r>
          </w:p>
        </w:tc>
        <w:tc>
          <w:tcPr>
            <w:tcW w:w="0" w:type="auto"/>
          </w:tcPr>
          <w:p w:rsidR="00C925F4" w:rsidRDefault="00C925F4"/>
        </w:tc>
      </w:tr>
      <w:tr w:rsidR="00C925F4">
        <w:tc>
          <w:tcPr>
            <w:tcW w:w="0" w:type="auto"/>
          </w:tcPr>
          <w:p w:rsidR="00C925F4" w:rsidRDefault="007C5EEE">
            <w:r>
              <w:t>Valor Presente (FCFF)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-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175.607,79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149.075,47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126.782,29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107.560,75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91.250,90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504.225,88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Capital investido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233.134,84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233.134,84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233.134,84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233.134,84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233.134,84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233.134,84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233.134,84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ROIC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70,00%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99,04%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104,30%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109,85%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115,70%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121,85%</w:t>
            </w:r>
          </w:p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128,33%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Valor da empresa</w:t>
            </w:r>
          </w:p>
        </w:tc>
        <w:tc>
          <w:tcPr>
            <w:tcW w:w="0" w:type="auto"/>
            <w:gridSpan w:val="6"/>
          </w:tcPr>
          <w:p w:rsidR="00C925F4" w:rsidRDefault="00C925F4"/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R$ 1.154.503,00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lastRenderedPageBreak/>
              <w:t>Desconto de iliquidez</w:t>
            </w:r>
          </w:p>
        </w:tc>
        <w:tc>
          <w:tcPr>
            <w:tcW w:w="0" w:type="auto"/>
            <w:gridSpan w:val="6"/>
          </w:tcPr>
          <w:p w:rsidR="00C925F4" w:rsidRDefault="00C925F4"/>
        </w:tc>
        <w:tc>
          <w:tcPr>
            <w:tcW w:w="0" w:type="auto"/>
          </w:tcPr>
          <w:p w:rsidR="00C925F4" w:rsidRDefault="007C5EEE">
            <w:pPr>
              <w:jc w:val="right"/>
            </w:pPr>
            <w:r>
              <w:t>- 15%</w:t>
            </w:r>
          </w:p>
        </w:tc>
      </w:tr>
      <w:tr w:rsidR="00C925F4">
        <w:tc>
          <w:tcPr>
            <w:tcW w:w="0" w:type="auto"/>
          </w:tcPr>
          <w:p w:rsidR="00C925F4" w:rsidRDefault="007C5EEE">
            <w:r>
              <w:t>Valor final da empresa com DCF</w:t>
            </w:r>
          </w:p>
        </w:tc>
        <w:tc>
          <w:tcPr>
            <w:tcW w:w="0" w:type="auto"/>
            <w:gridSpan w:val="7"/>
          </w:tcPr>
          <w:p w:rsidR="00C925F4" w:rsidRDefault="007C5EEE">
            <w:pPr>
              <w:jc w:val="right"/>
            </w:pPr>
            <w:r>
              <w:t>R$ 981.327,55</w:t>
            </w:r>
            <w:bookmarkStart w:id="54" w:name="_GoBack"/>
            <w:bookmarkEnd w:id="54"/>
          </w:p>
        </w:tc>
      </w:tr>
    </w:tbl>
    <w:p w:rsidR="00C925F4" w:rsidRDefault="007C5EEE">
      <w:r>
        <w:t>* Valor Terminal é o valor presente, previsto na avaliação de Fluxo de Caixa Descontado, uma vez que é impossível estimar fluxos de caixa ao infinito.</w:t>
      </w:r>
    </w:p>
    <w:p w:rsidR="00C925F4" w:rsidRDefault="007C5EEE">
      <w:r>
        <w:rPr>
          <w:b/>
          <w:bCs/>
        </w:rPr>
        <w:t>Cenário de crescimento escolhido:</w:t>
      </w:r>
      <w:r>
        <w:t xml:space="preserve"> Crescimento acompanhando </w:t>
      </w:r>
      <w:r>
        <w:t>a inflação (5.32% / 5.32% EBIT)</w:t>
      </w:r>
    </w:p>
    <w:bookmarkEnd w:id="52"/>
    <w:bookmarkEnd w:id="53"/>
    <w:p w:rsidR="00C925F4" w:rsidRDefault="007C5EEE">
      <w:r>
        <w:br w:type="page"/>
      </w:r>
    </w:p>
    <w:p w:rsidR="00C925F4" w:rsidRDefault="007C5EEE">
      <w:pPr>
        <w:pStyle w:val="Ttulo2"/>
      </w:pPr>
      <w:bookmarkStart w:id="55" w:name="glossário-de-termos"/>
      <w:bookmarkStart w:id="56" w:name="attachments2"/>
      <w:r>
        <w:lastRenderedPageBreak/>
        <w:t>Glossário de termos</w:t>
      </w:r>
    </w:p>
    <w:p w:rsidR="00C925F4" w:rsidRDefault="007C5EEE">
      <w:r>
        <w:rPr>
          <w:b/>
          <w:bCs/>
        </w:rPr>
        <w:t>Ativos Operacionais</w:t>
      </w:r>
      <w:r>
        <w:t xml:space="preserve"> - Ativos necessários para operar o negócio fundamental da empresa;</w:t>
      </w:r>
    </w:p>
    <w:p w:rsidR="00C925F4" w:rsidRDefault="007C5EEE">
      <w:r>
        <w:rPr>
          <w:b/>
          <w:bCs/>
        </w:rPr>
        <w:t>CDI</w:t>
      </w:r>
      <w:r>
        <w:t xml:space="preserve"> – Certificado de Depósito Interbancário (Índice de inflação calculado pelo IBGE);</w:t>
      </w:r>
    </w:p>
    <w:p w:rsidR="00C925F4" w:rsidRDefault="007C5EEE">
      <w:r>
        <w:rPr>
          <w:b/>
          <w:bCs/>
        </w:rPr>
        <w:t>Desconto de Iliquidez</w:t>
      </w:r>
      <w:r>
        <w:t xml:space="preserve"> - Desco</w:t>
      </w:r>
      <w:r>
        <w:t>nto aplicado em ativos que não podem ser facilmente vendidos. Por isso, acrescenta-se esta redução para tornar a venda do ativo mais fácil;</w:t>
      </w:r>
    </w:p>
    <w:p w:rsidR="00C925F4" w:rsidRDefault="007C5EEE">
      <w:r>
        <w:rPr>
          <w:b/>
          <w:bCs/>
        </w:rPr>
        <w:t>DRE</w:t>
      </w:r>
      <w:r>
        <w:t xml:space="preserve"> – Demonstração do Resultado do Exercício;</w:t>
      </w:r>
    </w:p>
    <w:p w:rsidR="00C925F4" w:rsidRDefault="007C5EEE">
      <w:r>
        <w:rPr>
          <w:b/>
          <w:bCs/>
        </w:rPr>
        <w:t>EBIT</w:t>
      </w:r>
      <w:r>
        <w:t xml:space="preserve"> </w:t>
      </w:r>
      <w:r>
        <w:t>– Earnings Before Interest and Taxes (Lucro antes de Juros e do Imposto de Renda – LAJIR);</w:t>
      </w:r>
    </w:p>
    <w:p w:rsidR="00C925F4" w:rsidRDefault="007C5EEE">
      <w:r>
        <w:rPr>
          <w:b/>
          <w:bCs/>
        </w:rPr>
        <w:t>EBITDA</w:t>
      </w:r>
      <w:r>
        <w:t xml:space="preserve"> – Earnings Before Interest, Tax, Depreciation and Amortization (Lucro antes dos Juros, Impostos, Depreciação e Amortização);</w:t>
      </w:r>
    </w:p>
    <w:p w:rsidR="00C925F4" w:rsidRDefault="007C5EEE">
      <w:r>
        <w:rPr>
          <w:b/>
          <w:bCs/>
        </w:rPr>
        <w:t>EV/Sales</w:t>
      </w:r>
      <w:r>
        <w:t xml:space="preserve"> - Múltiplo de faturament</w:t>
      </w:r>
      <w:r>
        <w:t>o muito utilizado no valuation de empresas. Demonstra a relação do valor da empresa (Enterprise Value) com seu faturamento anual;</w:t>
      </w:r>
    </w:p>
    <w:p w:rsidR="00C925F4" w:rsidRDefault="007C5EEE">
      <w:r>
        <w:rPr>
          <w:b/>
          <w:bCs/>
        </w:rPr>
        <w:t>FCFF</w:t>
      </w:r>
      <w:r>
        <w:t xml:space="preserve"> – Free Cash Flow to the Firm (Fluxo de Caixa Livre para a Empresa - FCLE);</w:t>
      </w:r>
    </w:p>
    <w:p w:rsidR="00C925F4" w:rsidRDefault="007C5EEE">
      <w:r>
        <w:rPr>
          <w:b/>
          <w:bCs/>
        </w:rPr>
        <w:t>IGP-M</w:t>
      </w:r>
      <w:r>
        <w:t xml:space="preserve"> – Índice Geral de Preços - Mercado (Índi</w:t>
      </w:r>
      <w:r>
        <w:t>ce de inflação calculado pelo IBGE);</w:t>
      </w:r>
    </w:p>
    <w:p w:rsidR="00C925F4" w:rsidRDefault="007C5EEE">
      <w:r>
        <w:rPr>
          <w:b/>
          <w:bCs/>
        </w:rPr>
        <w:t>INCC</w:t>
      </w:r>
      <w:r>
        <w:t xml:space="preserve"> – Índice Nacional de Custo da Construção (Índice de inflação calculado pelo IBGE);</w:t>
      </w:r>
    </w:p>
    <w:p w:rsidR="00C925F4" w:rsidRDefault="007C5EEE">
      <w:r>
        <w:rPr>
          <w:b/>
          <w:bCs/>
        </w:rPr>
        <w:t>IPA-M</w:t>
      </w:r>
      <w:r>
        <w:t xml:space="preserve"> – Índice de Preços ao Produtor Amplo - Mercado (Índice de inflação calculado pelo IBGE);</w:t>
      </w:r>
    </w:p>
    <w:p w:rsidR="00C925F4" w:rsidRDefault="007C5EEE">
      <w:r>
        <w:rPr>
          <w:b/>
          <w:bCs/>
        </w:rPr>
        <w:t>IPCA</w:t>
      </w:r>
      <w:r>
        <w:t xml:space="preserve"> – Índice de Preços ao Consumido</w:t>
      </w:r>
      <w:r>
        <w:t>r Amplo (Índice de inflação calculado pelo IBGE);</w:t>
      </w:r>
    </w:p>
    <w:p w:rsidR="00C925F4" w:rsidRDefault="007C5EEE">
      <w:r>
        <w:rPr>
          <w:b/>
          <w:bCs/>
        </w:rPr>
        <w:t>NOPAT</w:t>
      </w:r>
      <w:r>
        <w:t xml:space="preserve"> – Net Operating Profit After Taxes (Lucro Operacional Líquido Após Impostos);</w:t>
      </w:r>
    </w:p>
    <w:p w:rsidR="00C925F4" w:rsidRDefault="007C5EEE">
      <w:r>
        <w:rPr>
          <w:b/>
          <w:bCs/>
        </w:rPr>
        <w:t>PIB</w:t>
      </w:r>
      <w:r>
        <w:t xml:space="preserve"> – Produto Interno Bruto;</w:t>
      </w:r>
    </w:p>
    <w:p w:rsidR="00C925F4" w:rsidRDefault="007C5EEE">
      <w:r>
        <w:rPr>
          <w:b/>
          <w:bCs/>
        </w:rPr>
        <w:t>Reinvestimento</w:t>
      </w:r>
      <w:r>
        <w:t xml:space="preserve"> – Investimentos necessários à continuidade, manutenção e crescimento da capaci</w:t>
      </w:r>
      <w:r>
        <w:t>dade produtiva da empresa;</w:t>
      </w:r>
    </w:p>
    <w:p w:rsidR="00C925F4" w:rsidRDefault="007C5EEE">
      <w:r>
        <w:rPr>
          <w:b/>
          <w:bCs/>
        </w:rPr>
        <w:t>Relatório de Avaliação</w:t>
      </w:r>
      <w:r>
        <w:t xml:space="preserve"> – Este documento, gerado automaticamente em 24/06/2025;</w:t>
      </w:r>
    </w:p>
    <w:p w:rsidR="00C925F4" w:rsidRDefault="007C5EEE">
      <w:r>
        <w:rPr>
          <w:b/>
          <w:bCs/>
        </w:rPr>
        <w:t>ROA</w:t>
      </w:r>
      <w:r>
        <w:t xml:space="preserve"> – Return on Assets (Retorno sobre os ativos);</w:t>
      </w:r>
    </w:p>
    <w:p w:rsidR="00C925F4" w:rsidRDefault="007C5EEE">
      <w:r>
        <w:rPr>
          <w:b/>
          <w:bCs/>
        </w:rPr>
        <w:t>ROE</w:t>
      </w:r>
      <w:r>
        <w:t xml:space="preserve"> – Return on Equity (Retorno sobre o Patrimônio Líquido);</w:t>
      </w:r>
    </w:p>
    <w:p w:rsidR="00C925F4" w:rsidRDefault="007C5EEE">
      <w:r>
        <w:rPr>
          <w:b/>
          <w:bCs/>
        </w:rPr>
        <w:t>ROIC</w:t>
      </w:r>
      <w:r>
        <w:t xml:space="preserve"> – Return on Invested Capital (Reto</w:t>
      </w:r>
      <w:r>
        <w:t>rno sobre o Capital Investido);</w:t>
      </w:r>
    </w:p>
    <w:p w:rsidR="00C925F4" w:rsidRDefault="007C5EEE">
      <w:r>
        <w:rPr>
          <w:b/>
          <w:bCs/>
        </w:rPr>
        <w:t>Sales to Capital Ratio</w:t>
      </w:r>
      <w:r>
        <w:t xml:space="preserve"> – Taxa de vendas (receitas) em comparação ao capital investido. Um indicador utilizado para auferir o retorno do capital investido;</w:t>
      </w:r>
    </w:p>
    <w:p w:rsidR="00C925F4" w:rsidRDefault="007C5EEE">
      <w:r>
        <w:rPr>
          <w:b/>
          <w:bCs/>
        </w:rPr>
        <w:t>SELIC</w:t>
      </w:r>
      <w:r>
        <w:t xml:space="preserve"> – Taxa de juros definida pelo Banco Central do Brasil (Índice d</w:t>
      </w:r>
      <w:r>
        <w:t>e inflação calculado pelo IBGE);</w:t>
      </w:r>
    </w:p>
    <w:p w:rsidR="00C925F4" w:rsidRDefault="007C5EEE">
      <w:r>
        <w:rPr>
          <w:b/>
          <w:bCs/>
        </w:rPr>
        <w:lastRenderedPageBreak/>
        <w:t>Valor Terminal</w:t>
      </w:r>
      <w:r>
        <w:t xml:space="preserve"> – Valor final na avaliação de fluxo de caixa descontado, uma vez que é impossível estimar fluxos de caixa para sempre.</w:t>
      </w:r>
      <w:bookmarkEnd w:id="55"/>
      <w:bookmarkEnd w:id="56"/>
    </w:p>
    <w:sectPr w:rsidR="00C925F4">
      <w:foot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EE" w:rsidRDefault="007C5EEE">
      <w:pPr>
        <w:spacing w:after="0" w:line="240" w:lineRule="auto"/>
      </w:pPr>
      <w:r>
        <w:separator/>
      </w:r>
    </w:p>
  </w:endnote>
  <w:endnote w:type="continuationSeparator" w:id="0">
    <w:p w:rsidR="007C5EEE" w:rsidRDefault="007C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749767"/>
      <w:docPartObj>
        <w:docPartGallery w:val="Page Numbers (Bottom of Page)"/>
        <w:docPartUnique/>
      </w:docPartObj>
    </w:sdtPr>
    <w:sdtEndPr/>
    <w:sdtContent>
      <w:p w:rsidR="00ED1AD2" w:rsidRDefault="00ED1A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05">
          <w:rPr>
            <w:noProof/>
          </w:rPr>
          <w:t>16</w:t>
        </w:r>
        <w:r>
          <w:fldChar w:fldCharType="end"/>
        </w:r>
      </w:p>
    </w:sdtContent>
  </w:sdt>
  <w:p w:rsidR="00ED1AD2" w:rsidRDefault="00ED1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EE" w:rsidRDefault="007C5EEE">
      <w:pPr>
        <w:spacing w:after="0" w:line="240" w:lineRule="auto"/>
      </w:pPr>
      <w:r>
        <w:separator/>
      </w:r>
    </w:p>
  </w:footnote>
  <w:footnote w:type="continuationSeparator" w:id="0">
    <w:p w:rsidR="007C5EEE" w:rsidRDefault="007C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A990"/>
    <w:multiLevelType w:val="multilevel"/>
    <w:tmpl w:val="6784B8F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D2"/>
    <w:rsid w:val="000B7A44"/>
    <w:rsid w:val="00161874"/>
    <w:rsid w:val="0029609B"/>
    <w:rsid w:val="004B1A92"/>
    <w:rsid w:val="00763F18"/>
    <w:rsid w:val="00794500"/>
    <w:rsid w:val="007B056B"/>
    <w:rsid w:val="007C5EEE"/>
    <w:rsid w:val="00813AE9"/>
    <w:rsid w:val="0095768D"/>
    <w:rsid w:val="00987E16"/>
    <w:rsid w:val="009C0605"/>
    <w:rsid w:val="00A14119"/>
    <w:rsid w:val="00C732C8"/>
    <w:rsid w:val="00C925F4"/>
    <w:rsid w:val="00CD75CF"/>
    <w:rsid w:val="00D24E9B"/>
    <w:rsid w:val="00DD6C60"/>
    <w:rsid w:val="00E95C77"/>
    <w:rsid w:val="00EC2335"/>
    <w:rsid w:val="00E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E8931-D0CC-49CA-A906-A95BC987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335"/>
  </w:style>
  <w:style w:type="paragraph" w:styleId="Ttulo1">
    <w:name w:val="heading 1"/>
    <w:basedOn w:val="Normal"/>
    <w:next w:val="Normal"/>
    <w:link w:val="Ttulo1Char"/>
    <w:uiPriority w:val="9"/>
    <w:qFormat/>
    <w:rsid w:val="0079450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2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AD2"/>
  </w:style>
  <w:style w:type="paragraph" w:styleId="Rodap">
    <w:name w:val="footer"/>
    <w:basedOn w:val="Normal"/>
    <w:link w:val="RodapChar"/>
    <w:uiPriority w:val="99"/>
    <w:unhideWhenUsed/>
    <w:rsid w:val="00ED1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AD2"/>
  </w:style>
  <w:style w:type="character" w:customStyle="1" w:styleId="Ttulo4Char">
    <w:name w:val="Título 4 Char"/>
    <w:basedOn w:val="Fontepargpadro"/>
    <w:link w:val="Ttulo4"/>
    <w:uiPriority w:val="9"/>
    <w:semiHidden/>
    <w:rsid w:val="00987E16"/>
    <w:rPr>
      <w:rFonts w:asciiTheme="majorHAnsi" w:eastAsiaTheme="majorEastAsia" w:hAnsiTheme="majorHAnsi" w:cstheme="majorBidi"/>
      <w:b/>
      <w:i/>
      <w:iCs/>
      <w:color w:val="2E74B5" w:themeColor="accent1" w:themeShade="BF"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79450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C2335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paragraph" w:customStyle="1" w:styleId="break">
    <w:name w:val="break"/>
    <w:basedOn w:val="Normal"/>
    <w:qFormat/>
    <w:rsid w:val="00A14119"/>
    <w:pPr>
      <w:pageBreakBefore/>
      <w:widowControl w:val="0"/>
    </w:pPr>
    <w:rPr>
      <w:rFonts w:asciiTheme="majorHAnsi" w:hAnsiTheme="majorHAnsi" w:cs="Rubik"/>
    </w:rPr>
  </w:style>
  <w:style w:type="table" w:customStyle="1" w:styleId="Tabela">
    <w:name w:val="Tabela"/>
    <w:basedOn w:val="Tabelacontempornea"/>
    <w:uiPriority w:val="99"/>
    <w:rsid w:val="00794500"/>
    <w:pPr>
      <w:spacing w:after="0" w:line="240" w:lineRule="auto"/>
    </w:pPr>
    <w:rPr>
      <w:sz w:val="20"/>
      <w:szCs w:val="20"/>
      <w:lang w:eastAsia="pt-B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contempornea">
    <w:name w:val="Table Contemporary"/>
    <w:basedOn w:val="Tabelanormal"/>
    <w:uiPriority w:val="99"/>
    <w:semiHidden/>
    <w:unhideWhenUsed/>
    <w:rsid w:val="007945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s">
    <w:name w:val="Tabelas"/>
    <w:basedOn w:val="Tabelaprofissional"/>
    <w:uiPriority w:val="99"/>
    <w:rsid w:val="00E95C77"/>
    <w:pPr>
      <w:spacing w:after="0" w:line="240" w:lineRule="auto"/>
    </w:pPr>
    <w:rPr>
      <w:sz w:val="20"/>
      <w:szCs w:val="20"/>
      <w:lang w:eastAsia="pt-BR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E95C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png"/><Relationship Id="rId28" Type="http://schemas.openxmlformats.org/officeDocument/2006/relationships/image" Target="media/image22.jp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png"/><Relationship Id="rId27" Type="http://schemas.openxmlformats.org/officeDocument/2006/relationships/image" Target="media/image21.jpg"/><Relationship Id="rId30" Type="http://schemas.openxmlformats.org/officeDocument/2006/relationships/image" Target="media/image24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ubik">
      <a:majorFont>
        <a:latin typeface="Rubik"/>
        <a:ea typeface=""/>
        <a:cs typeface=""/>
      </a:majorFont>
      <a:minorFont>
        <a:latin typeface="Rubik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2270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Conta da Microsoft</cp:lastModifiedBy>
  <cp:revision>2</cp:revision>
  <dcterms:created xsi:type="dcterms:W3CDTF">2025-06-24T14:17:00Z</dcterms:created>
  <dcterms:modified xsi:type="dcterms:W3CDTF">2025-06-24T14:21:00Z</dcterms:modified>
</cp:coreProperties>
</file>